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616</w:t>
      </w:r>
    </w:p>
    <w:p>
      <w:r>
        <w:t>Bundesgericht (BGE), 1971-09-24, FR</w:t>
      </w:r>
    </w:p>
    <w:p>
      <w:r>
        <w:rPr>
          <w:b/>
        </w:rPr>
        <w:t xml:space="preserve">Quelle: </w:t>
      </w:r>
      <w:r>
        <w:t>https://mcp.opencaselaw.ch/entscheid/bge_97 I 616</w:t>
      </w:r>
    </w:p>
    <w:p>
      <w:r>
        <w:t>FR: ATF 97 I 616</w:t>
      </w:r>
    </w:p>
    <w:p>
      <w:r>
        <w:t>IT: DTF 97 I 616</w:t>
      </w:r>
    </w:p>
    <w:p>
      <w:pPr>
        <w:pStyle w:val="Heading2"/>
      </w:pPr>
      <w:r>
        <w:t>Regeste</w:t>
      </w:r>
    </w:p>
    <w:p>
      <w:r>
        <w:t>Regeste Art. 4 BV. Anspruch des Angeschuldigten auf rechtliches Gehör in einem Strafverfahren, wenn dieses wegen Unzurechnungsfähigkeit eingestellt und in Verbindung damit die Verwahrung des Angeschuldigten in einer Heil- oder Pflegeanstalt angeordnet wird.</w:t>
      </w:r>
    </w:p>
    <w:p>
      <w:pPr>
        <w:pStyle w:val="Heading2"/>
      </w:pPr>
      <w:r>
        <w:t>Erwägungen</w:t>
      </w:r>
    </w:p>
    <w:p>
      <w:r>
        <w:rPr>
          <w:b/>
        </w:rPr>
        <w:t>E. 4</w:t>
      </w:r>
    </w:p>
    <w:p>
      <w:r>
        <w:t>Au fond, la recourante allègue la violation du droit d'être entendu, parce que, dit-elle, l'autorité cantonale a ordonné son internement sans lui avoir donné l'occasion de s'exprimer à ce sujet. Selon la jurisprudence constante du Tribunal fédéral en matière civile et pénale, les parties ont un droit tout à fait général et inconditionnel à être entendues (RO 92 I 187 et les arrêts cités). Le même principe doit s'appliquer aux procédures pénales qui se terminent par des ordonnances de non-lieu, dans la mesure où elles portent préjudice à l'inculpé. Tel est le cas dans la présente espèce, car l'autorité cantonale n'a pas uniquement mis fin à la procédure à cause de l'irresponsabilité de l'inculpée, elle a aussi ordonné l'internement de celle-ci conformément aux art. 14 CP et 288 PP vaud., ce que le droit fédéral lui donnait le pouvoir de faire (RO 72 IV 1). Elle aurait dès lors dû donner à la recourante l'occasion de se prononcer sur la mesure envisagée. Car, de même que la personne menacée d'un internement administratif doit être entendue sur les motifs de la décision à prendre (RO 83 I 241), de même il faut entendre l'inculpé avant le prononcé d'un non-lieu accompagné d'un renvoi dans un hôpital ou un hospice et lui permettre de faire ses objections à une telle mesure. Il est vrai que l'art. 288 PP vaud. ne contient aucune disposition dans ce sens. Mais, pour l'inculpé, le droit d'être entendu découle directement de l'art. 4 Cst. lorsque, comme en l'espèce, la protection accordée par le droit cantonal est insuffisante (RO 92 I 186). BGE 97 I 616 S. 618 Le juge informateur avait sans doute communiqué à la recourante "l'ordonnance à suivre" prononcée par lui, le 1er mars 1971, et lui avait fixé un délai pour y répondre par un mémoire; sans doute aussi s'était-il, dans cette ordonnance, référé à une expertise psychiatrique ordonnée dans une procédure précédente et avait-il cité l'art. 10 CP (art. 277 et 278 PP vaud.). Etant donné, cependant, que ladite expertise constatait que la recourante, bien qu'irresponsable, ne compromettait ni l'ordre, ni la sécurité publics et que le juge informateur n'avait pas proposé l'internement, la recourante n'avait aucune raison de se prononcer à ce sujet. Aussi bien est-ce seulement dans le préavis du Ministère public sur la décision à prendre que l'on trouve contredite pour la première fois l'opinion exprimée par le psychiatre sur le caractère dangereux de la recourante. C'est le même préavis qui, pour la première fois, propose l'internement et le motive. Le Tribunal d'accusation n'en a pas donné connaissance à la recourante et ne l'a pas mise à même de se défendre sur ce point. Il a, de ce fait, violé le droit d'être entendu. Le Ministère public objecte en vain que la recourante a eu l'occasion de s'expliquer sur ses actes devant la police et le juge informateur. Selon les procès-verbaux d'interrogatoire, Hélène Cherix a été interrogée en détail sur son activité de guérisseuse, en particulier sur l'affaire Benoît. Mais, dans ces procès-verbaux, on ne trouve pas le plus petit indice que la recourante, qui ne connaît pas le droit, ait été rendue attentive au fait qu'elle était dangereuse pour l'ordre et la sécurité publics et que, dès lors, elle devait compter qu'une mesure d'internement pourrait être prise contre elle en vertu de l'art. 14 CP. Or, il va de soi que, dans un Etat fondé sur le droit, l'inculpé a le droit d'être entendu et de présenter ses objections, au sujet non seulement des actes punissables qui lui sont imputés, mais aussi des sanctions qu'envisagent les autorités pénales (peines et mesures). L'autorité cantonale l'a méconnu et a ainsi violé l'art.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